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94" w:rsidRDefault="00AA4294" w:rsidP="00AA4294">
      <w:pPr>
        <w:pStyle w:val="UoRTitle"/>
      </w:pPr>
    </w:p>
    <w:p w:rsidR="00AA4294" w:rsidRDefault="00AA4294" w:rsidP="00AA4294">
      <w:pPr>
        <w:pStyle w:val="UoRTitle"/>
      </w:pPr>
    </w:p>
    <w:p w:rsidR="00AA4294" w:rsidRDefault="00AA4294" w:rsidP="00AA4294">
      <w:pPr>
        <w:pStyle w:val="UoRTitle"/>
      </w:pPr>
    </w:p>
    <w:p w:rsidR="00AA47AB" w:rsidRPr="00AA4294" w:rsidRDefault="00AA47AB" w:rsidP="004D7347">
      <w:pPr>
        <w:pStyle w:val="Heading1"/>
      </w:pPr>
      <w:r w:rsidRPr="00AA4294">
        <w:drawing>
          <wp:anchor distT="0" distB="0" distL="114300" distR="114300" simplePos="0" relativeHeight="251660288" behindDoc="0" locked="0" layoutInCell="1" allowOverlap="1" wp14:anchorId="27433F6C" wp14:editId="59E4D585">
            <wp:simplePos x="0" y="0"/>
            <wp:positionH relativeFrom="page">
              <wp:posOffset>5581679</wp:posOffset>
            </wp:positionH>
            <wp:positionV relativeFrom="page">
              <wp:posOffset>469900</wp:posOffset>
            </wp:positionV>
            <wp:extent cx="1511877" cy="492760"/>
            <wp:effectExtent l="0" t="0" r="0" b="2540"/>
            <wp:wrapNone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77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29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2D80" wp14:editId="453E6DB4">
                <wp:simplePos x="0" y="0"/>
                <wp:positionH relativeFrom="margin">
                  <wp:posOffset>0</wp:posOffset>
                </wp:positionH>
                <wp:positionV relativeFrom="page">
                  <wp:posOffset>478790</wp:posOffset>
                </wp:positionV>
                <wp:extent cx="2761200" cy="666000"/>
                <wp:effectExtent l="0" t="0" r="127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7AB" w:rsidRPr="0050246F" w:rsidRDefault="005A7896" w:rsidP="00AA47AB">
                            <w:pPr>
                              <w:pStyle w:val="UoRUnitname"/>
                            </w:pPr>
                            <w:r>
                              <w:t>Health &amp; Safety Services</w:t>
                            </w:r>
                          </w:p>
                          <w:p w:rsidR="00AA47AB" w:rsidRDefault="00AA47AB" w:rsidP="00AA47AB"/>
                          <w:p w:rsidR="00AA47AB" w:rsidRDefault="00AA47AB" w:rsidP="00AA47AB"/>
                          <w:p w:rsidR="00AA47AB" w:rsidRPr="0050246F" w:rsidRDefault="00AA47AB" w:rsidP="00AA47AB">
                            <w:pPr>
                              <w:pStyle w:val="UoRUnitname"/>
                            </w:pPr>
                            <w:r>
                              <w:t>Unit name goes here</w:t>
                            </w:r>
                          </w:p>
                          <w:p w:rsidR="00AA47AB" w:rsidRDefault="00AA47AB" w:rsidP="00AA47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02D8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7.7pt;width:217.4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" stroked="f">
                <v:textbox inset="0,0,0,0">
                  <w:txbxContent>
                    <w:p w:rsidR="00AA47AB" w:rsidRPr="0050246F" w:rsidRDefault="005A7896" w:rsidP="00AA47AB">
                      <w:pPr>
                        <w:pStyle w:val="UoRUnitname"/>
                      </w:pPr>
                      <w:r>
                        <w:t>Health &amp; Safety Services</w:t>
                      </w:r>
                    </w:p>
                    <w:p w:rsidR="00AA47AB" w:rsidRDefault="00AA47AB" w:rsidP="00AA47AB"/>
                    <w:p w:rsidR="00AA47AB" w:rsidRDefault="00AA47AB" w:rsidP="00AA47AB"/>
                    <w:p w:rsidR="00AA47AB" w:rsidRPr="0050246F" w:rsidRDefault="00AA47AB" w:rsidP="00AA47AB">
                      <w:pPr>
                        <w:pStyle w:val="UoRUnitname"/>
                      </w:pPr>
                      <w:r>
                        <w:t>Unit name goes here</w:t>
                      </w:r>
                    </w:p>
                    <w:p w:rsidR="00AA47AB" w:rsidRDefault="00AA47AB" w:rsidP="00AA47AB"/>
                  </w:txbxContent>
                </v:textbox>
                <w10:wrap anchorx="margin" anchory="page"/>
              </v:shape>
            </w:pict>
          </mc:Fallback>
        </mc:AlternateContent>
      </w:r>
      <w:r w:rsidR="003F5EB2">
        <w:t>Cross-</w:t>
      </w:r>
      <w:bookmarkStart w:id="0" w:name="_GoBack"/>
      <w:bookmarkEnd w:id="0"/>
      <w:r w:rsidR="003F5EB2">
        <w:t>Charging Policy</w:t>
      </w:r>
    </w:p>
    <w:p w:rsidR="00AA47AB" w:rsidRDefault="003F5EB2" w:rsidP="00AA4294">
      <w:r>
        <w:t>Health &amp; Safety Services schedule a range of training courses across the academic year to support staff in meeting the University of Reading’s responsibilities for Health &amp; Safety.</w:t>
      </w:r>
    </w:p>
    <w:p w:rsidR="003F5EB2" w:rsidRDefault="003F5EB2" w:rsidP="00AA4294">
      <w:r>
        <w:t>For the most part, these courses are organised and funded by H&amp;SS with a few exceptions:-</w:t>
      </w:r>
    </w:p>
    <w:p w:rsidR="003F5EB2" w:rsidRDefault="003F5EB2" w:rsidP="00AA4294">
      <w:r>
        <w:t>Specialist training courses provided for specific schools and areas will be cross-charged to the School/Function for which they have been organise</w:t>
      </w:r>
      <w:r w:rsidR="00760672">
        <w:t>d</w:t>
      </w:r>
      <w:r>
        <w:t>. These include:-</w:t>
      </w:r>
    </w:p>
    <w:p w:rsidR="003F5EB2" w:rsidRDefault="003F5EB2" w:rsidP="003F5EB2">
      <w:pPr>
        <w:pStyle w:val="ListParagraph"/>
        <w:numPr>
          <w:ilvl w:val="0"/>
          <w:numId w:val="15"/>
        </w:numPr>
      </w:pPr>
      <w:r>
        <w:t xml:space="preserve">Specialist courses for science schools, e.g. Gas Safe courses, </w:t>
      </w:r>
    </w:p>
    <w:p w:rsidR="003F5EB2" w:rsidRDefault="003F5EB2" w:rsidP="003F5EB2">
      <w:pPr>
        <w:pStyle w:val="ListParagraph"/>
        <w:numPr>
          <w:ilvl w:val="0"/>
          <w:numId w:val="15"/>
        </w:numPr>
      </w:pPr>
      <w:r>
        <w:t>Specialist courses for Catering areas, e.g. Food Safety e-learning</w:t>
      </w:r>
    </w:p>
    <w:p w:rsidR="003F5EB2" w:rsidRDefault="00216FE1" w:rsidP="003F5EB2">
      <w:pPr>
        <w:pStyle w:val="ListParagraph"/>
        <w:numPr>
          <w:ilvl w:val="0"/>
          <w:numId w:val="15"/>
        </w:numPr>
      </w:pPr>
      <w:r>
        <w:t>For First Aid Training, at the discretion of Health &amp; Safety Services, where need has already been met.</w:t>
      </w:r>
    </w:p>
    <w:p w:rsidR="007A1A4A" w:rsidRDefault="003F5EB2" w:rsidP="003F5EB2">
      <w:r>
        <w:t xml:space="preserve">Most sessions have a limit on the number of places available.  Place are allocated on a first come first serve basis but for sessions with specific target audiences, priority is given to those who meet the criteria.  </w:t>
      </w:r>
    </w:p>
    <w:p w:rsidR="004D7347" w:rsidRDefault="004D7347" w:rsidP="003F5EB2"/>
    <w:p w:rsidR="007A1A4A" w:rsidRPr="004D7347" w:rsidRDefault="007A1A4A" w:rsidP="004D7347">
      <w:pPr>
        <w:pStyle w:val="Heading1"/>
      </w:pPr>
      <w:r w:rsidRPr="004D7347">
        <w:t>Cancellation Policy</w:t>
      </w:r>
    </w:p>
    <w:p w:rsidR="007A1A4A" w:rsidRDefault="007A1A4A" w:rsidP="003F5EB2">
      <w:r>
        <w:t>H&amp;SS operate a cancellation policy for all training.</w:t>
      </w:r>
    </w:p>
    <w:p w:rsidR="007A1A4A" w:rsidRDefault="007A1A4A" w:rsidP="003F5EB2">
      <w:r>
        <w:t>Please contact us as soon as you know that you are unable to attend a training course.  We can often offer your place to someone else.  A late cancellation fee of £40 may be charged to Schools/Functions when less than 2 working days’ notice is given of withdrawal.  Cancellation by simply not turning up to a session w</w:t>
      </w:r>
      <w:r w:rsidR="00760672">
        <w:t xml:space="preserve">ill increase the fee to £50 (or </w:t>
      </w:r>
      <w:r>
        <w:t>the full per person course fee for external training courses e.g. First Aid).</w:t>
      </w:r>
    </w:p>
    <w:p w:rsidR="007A1A4A" w:rsidRDefault="007A1A4A" w:rsidP="003F5EB2">
      <w:r>
        <w:t xml:space="preserve">If you are unable to attend due to unforeseen circumstances, an email notification should be sent from your Line Manager to </w:t>
      </w:r>
      <w:hyperlink r:id="rId9" w:history="1">
        <w:r w:rsidRPr="0049668B">
          <w:rPr>
            <w:rStyle w:val="Hyperlink"/>
          </w:rPr>
          <w:t>safety@reading.ac.uk</w:t>
        </w:r>
      </w:hyperlink>
      <w:r>
        <w:t xml:space="preserve"> and consideration will be given to a waiver of the charge.</w:t>
      </w:r>
    </w:p>
    <w:p w:rsidR="007A1A4A" w:rsidRDefault="007A1A4A" w:rsidP="003F5EB2">
      <w:r>
        <w:t>Charges will be made where there is non-attendance due to:</w:t>
      </w:r>
    </w:p>
    <w:p w:rsidR="007A1A4A" w:rsidRDefault="007A1A4A" w:rsidP="007A1A4A">
      <w:pPr>
        <w:pStyle w:val="ListParagraph"/>
        <w:numPr>
          <w:ilvl w:val="0"/>
          <w:numId w:val="16"/>
        </w:numPr>
      </w:pPr>
      <w:r>
        <w:t>Other work pressures</w:t>
      </w:r>
    </w:p>
    <w:p w:rsidR="007A1A4A" w:rsidRDefault="007A1A4A" w:rsidP="007A1A4A">
      <w:pPr>
        <w:pStyle w:val="ListParagraph"/>
        <w:numPr>
          <w:ilvl w:val="0"/>
          <w:numId w:val="16"/>
        </w:numPr>
      </w:pPr>
      <w:r>
        <w:t>Annual leave bookings</w:t>
      </w:r>
    </w:p>
    <w:p w:rsidR="007A1A4A" w:rsidRDefault="007A1A4A" w:rsidP="007A1A4A">
      <w:pPr>
        <w:pStyle w:val="ListParagraph"/>
        <w:numPr>
          <w:ilvl w:val="0"/>
          <w:numId w:val="16"/>
        </w:numPr>
      </w:pPr>
      <w:r>
        <w:t>Course booked in error</w:t>
      </w:r>
    </w:p>
    <w:p w:rsidR="007A1A4A" w:rsidRDefault="007A1A4A" w:rsidP="007A1A4A">
      <w:pPr>
        <w:pStyle w:val="ListParagraph"/>
        <w:numPr>
          <w:ilvl w:val="0"/>
          <w:numId w:val="16"/>
        </w:numPr>
      </w:pPr>
      <w:r>
        <w:t>Applicant forgot or went to the wrong location</w:t>
      </w:r>
    </w:p>
    <w:p w:rsidR="007A1A4A" w:rsidRDefault="007A1A4A" w:rsidP="007A1A4A">
      <w:r>
        <w:t>Charges are unlikely to be made where:</w:t>
      </w:r>
    </w:p>
    <w:p w:rsidR="007A1A4A" w:rsidRDefault="007A1A4A" w:rsidP="007A1A4A">
      <w:pPr>
        <w:pStyle w:val="ListParagraph"/>
        <w:numPr>
          <w:ilvl w:val="0"/>
          <w:numId w:val="17"/>
        </w:numPr>
      </w:pPr>
      <w:r>
        <w:t>There is a personal or family emergency</w:t>
      </w:r>
    </w:p>
    <w:p w:rsidR="007A1A4A" w:rsidRDefault="007A1A4A" w:rsidP="007A1A4A">
      <w:pPr>
        <w:pStyle w:val="ListParagraph"/>
        <w:numPr>
          <w:ilvl w:val="0"/>
          <w:numId w:val="17"/>
        </w:numPr>
      </w:pPr>
      <w:r>
        <w:t>Compassionate leave has been given</w:t>
      </w:r>
    </w:p>
    <w:p w:rsidR="007A1A4A" w:rsidRDefault="007A1A4A" w:rsidP="003F5EB2">
      <w:pPr>
        <w:pStyle w:val="ListParagraph"/>
        <w:numPr>
          <w:ilvl w:val="0"/>
          <w:numId w:val="17"/>
        </w:numPr>
      </w:pPr>
      <w:r>
        <w:t>Staff have been reported sick using absence reporting policies &amp; procedures</w:t>
      </w:r>
    </w:p>
    <w:p w:rsidR="007A1A4A" w:rsidRDefault="007A1A4A" w:rsidP="003F5EB2"/>
    <w:p w:rsidR="00542315" w:rsidRDefault="00542315"/>
    <w:sectPr w:rsidR="00542315" w:rsidSect="00FA126E">
      <w:headerReference w:type="default" r:id="rId10"/>
      <w:footerReference w:type="default" r:id="rId11"/>
      <w:headerReference w:type="first" r:id="rId12"/>
      <w:footerReference w:type="first" r:id="rId13"/>
      <w:pgSz w:w="11906" w:h="16840"/>
      <w:pgMar w:top="1134" w:right="73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B1" w:rsidRDefault="00FE29B1">
      <w:pPr>
        <w:spacing w:before="0" w:line="240" w:lineRule="auto"/>
      </w:pPr>
      <w:r>
        <w:separator/>
      </w:r>
    </w:p>
  </w:endnote>
  <w:endnote w:type="continuationSeparator" w:id="0">
    <w:p w:rsidR="00FE29B1" w:rsidRDefault="00FE29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Trebuchet MS"/>
    <w:charset w:val="00"/>
    <w:family w:val="swiss"/>
    <w:pitch w:val="variable"/>
    <w:sig w:usb0="A00002EF" w:usb1="5000205B" w:usb2="00000008" w:usb3="00000000" w:csb0="0000009F" w:csb1="00000000"/>
    <w:embedRegular r:id="rId1" w:fontKey="{EB3C8456-1370-452C-91D8-CDA136D4F7DF}"/>
    <w:embedBold r:id="rId2" w:fontKey="{7294E029-94DF-4BAA-BE79-C754AE5B8A3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C204FBEC-99AA-42FD-8C6E-27A8D7169C45}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  <w:embedRegular r:id="rId4" w:fontKey="{1778B888-692E-4A2C-A2BC-351B34FB5569}"/>
  </w:font>
  <w:font w:name="Effra Bold">
    <w:altName w:val="Cambria"/>
    <w:charset w:val="00"/>
    <w:family w:val="swiss"/>
    <w:pitch w:val="variable"/>
    <w:embedRegular r:id="rId5" w:fontKey="{5DA4D533-F863-4DC2-8FB5-9C4FE087FE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1C1" w:rsidRPr="000F7D30" w:rsidRDefault="000F7D30" w:rsidP="000F7D30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216FE1">
      <w:rPr>
        <w:noProof/>
      </w:rPr>
      <w:t>2019</w:t>
    </w:r>
    <w:r>
      <w:fldChar w:fldCharType="end"/>
    </w:r>
    <w:r>
      <w:tab/>
    </w:r>
    <w:r>
      <w:fldChar w:fldCharType="begin"/>
    </w:r>
    <w:r>
      <w:instrText xml:space="preserve"> DATE  \@ "dddd d MMMM yyyy" </w:instrText>
    </w:r>
    <w:r>
      <w:fldChar w:fldCharType="separate"/>
    </w:r>
    <w:r w:rsidR="00216FE1">
      <w:rPr>
        <w:noProof/>
      </w:rPr>
      <w:t>Thursday 22 August 2019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4D7347">
      <w:rPr>
        <w:b/>
        <w:noProof/>
      </w:rPr>
      <w:t>1</w:t>
    </w:r>
    <w:r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AE" w:rsidRPr="006940AE" w:rsidRDefault="00841B35" w:rsidP="006940AE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216FE1">
      <w:rPr>
        <w:noProof/>
      </w:rPr>
      <w:t>2019</w:t>
    </w:r>
    <w:r>
      <w:fldChar w:fldCharType="end"/>
    </w:r>
    <w:r>
      <w:tab/>
    </w:r>
    <w:r>
      <w:fldChar w:fldCharType="begin"/>
    </w:r>
    <w:r>
      <w:instrText xml:space="preserve"> DATE  \@ "dddd d MMMM yyyy" </w:instrText>
    </w:r>
    <w:r>
      <w:fldChar w:fldCharType="separate"/>
    </w:r>
    <w:r w:rsidR="00216FE1">
      <w:rPr>
        <w:noProof/>
      </w:rPr>
      <w:t>Thursday 22 August 2019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AA4294">
      <w:rPr>
        <w:b/>
        <w:noProof/>
      </w:rPr>
      <w:t>1</w:t>
    </w:r>
    <w:r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B1" w:rsidRDefault="00FE29B1">
      <w:pPr>
        <w:spacing w:before="0" w:line="240" w:lineRule="auto"/>
      </w:pPr>
      <w:r>
        <w:separator/>
      </w:r>
    </w:p>
  </w:footnote>
  <w:footnote w:type="continuationSeparator" w:id="0">
    <w:p w:rsidR="00FE29B1" w:rsidRDefault="00FE29B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1C1" w:rsidRPr="000F7D30" w:rsidRDefault="00FE29B1" w:rsidP="000F7D30">
    <w:pPr>
      <w:pStyle w:val="Header"/>
    </w:pPr>
    <w:sdt>
      <w:sdtPr>
        <w:rPr>
          <w:b/>
        </w:rPr>
        <w:alias w:val="Title"/>
        <w:tag w:val=""/>
        <w:id w:val="-800763404"/>
        <w:placeholder>
          <w:docPart w:val="DBAC61D3BB064D60B28DE2154F5836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0F7D30" w:rsidRPr="000F7D30">
          <w:rPr>
            <w:b/>
          </w:rPr>
          <w:t>UoR</w:t>
        </w:r>
        <w:proofErr w:type="spellEnd"/>
        <w:r w:rsidR="000F7D30" w:rsidRPr="000F7D30">
          <w:rPr>
            <w:b/>
          </w:rPr>
          <w:t xml:space="preserve"> Report</w:t>
        </w:r>
      </w:sdtContent>
    </w:sdt>
    <w:r w:rsidR="000F7D30">
      <w:rPr>
        <w:b/>
      </w:rPr>
      <w:t xml:space="preserve"> </w:t>
    </w:r>
    <w:r w:rsidR="000F7D30" w:rsidRPr="000F7D30">
      <w:t>–</w:t>
    </w:r>
    <w:r w:rsidR="000F7D30">
      <w:t xml:space="preserve"> </w:t>
    </w:r>
    <w:sdt>
      <w:sdtPr>
        <w:alias w:val="Author"/>
        <w:tag w:val=""/>
        <w:id w:val="1451054929"/>
        <w:placeholder>
          <w:docPart w:val="7EFF706575E14D72AC2959D71B36217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spellStart"/>
        <w:r w:rsidR="000F7D30">
          <w:t>UoR</w:t>
        </w:r>
        <w:proofErr w:type="spellEnd"/>
        <w:r w:rsidR="000F7D30">
          <w:t xml:space="preserve"> Staff member</w:t>
        </w:r>
      </w:sdtContent>
    </w:sdt>
    <w:r w:rsidR="000F7D30">
      <w:t xml:space="preserve">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1C1" w:rsidRDefault="00FE29B1">
    <w:pPr>
      <w:pStyle w:val="Header"/>
    </w:pPr>
  </w:p>
  <w:p w:rsidR="00F071C1" w:rsidRDefault="00FE29B1">
    <w:pPr>
      <w:pStyle w:val="Header"/>
    </w:pPr>
  </w:p>
  <w:p w:rsidR="00F071C1" w:rsidRDefault="00FE29B1">
    <w:pPr>
      <w:pStyle w:val="Header"/>
    </w:pPr>
  </w:p>
  <w:p w:rsidR="00F071C1" w:rsidRDefault="00FE29B1">
    <w:pPr>
      <w:pStyle w:val="Header"/>
    </w:pPr>
  </w:p>
  <w:p w:rsidR="00F071C1" w:rsidRDefault="00FE29B1">
    <w:pPr>
      <w:pStyle w:val="Header"/>
    </w:pPr>
  </w:p>
  <w:p w:rsidR="00F071C1" w:rsidRDefault="00FE2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E0926"/>
    <w:multiLevelType w:val="hybridMultilevel"/>
    <w:tmpl w:val="61A6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729BB"/>
    <w:multiLevelType w:val="hybridMultilevel"/>
    <w:tmpl w:val="5C14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C3018"/>
    <w:multiLevelType w:val="hybridMultilevel"/>
    <w:tmpl w:val="9E28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12E2"/>
    <w:multiLevelType w:val="hybridMultilevel"/>
    <w:tmpl w:val="AAAAC20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15"/>
    <w:rsid w:val="000215FE"/>
    <w:rsid w:val="000628C9"/>
    <w:rsid w:val="000D6421"/>
    <w:rsid w:val="000E1538"/>
    <w:rsid w:val="000F7D30"/>
    <w:rsid w:val="001C30E9"/>
    <w:rsid w:val="002034D9"/>
    <w:rsid w:val="00216FE1"/>
    <w:rsid w:val="00220BD0"/>
    <w:rsid w:val="0026274C"/>
    <w:rsid w:val="002F286A"/>
    <w:rsid w:val="00303FA9"/>
    <w:rsid w:val="00352B51"/>
    <w:rsid w:val="003A2978"/>
    <w:rsid w:val="003F5EB2"/>
    <w:rsid w:val="004865B8"/>
    <w:rsid w:val="004A061C"/>
    <w:rsid w:val="004B392F"/>
    <w:rsid w:val="004C2048"/>
    <w:rsid w:val="004D7347"/>
    <w:rsid w:val="00542315"/>
    <w:rsid w:val="00557173"/>
    <w:rsid w:val="005A7896"/>
    <w:rsid w:val="005D6C5D"/>
    <w:rsid w:val="006940AE"/>
    <w:rsid w:val="0069429E"/>
    <w:rsid w:val="006E444B"/>
    <w:rsid w:val="00760672"/>
    <w:rsid w:val="007A1A4A"/>
    <w:rsid w:val="007A302B"/>
    <w:rsid w:val="0080422D"/>
    <w:rsid w:val="0081605A"/>
    <w:rsid w:val="008177CD"/>
    <w:rsid w:val="00837E3E"/>
    <w:rsid w:val="00841B35"/>
    <w:rsid w:val="00897F24"/>
    <w:rsid w:val="009B002C"/>
    <w:rsid w:val="009D1303"/>
    <w:rsid w:val="00A77F9B"/>
    <w:rsid w:val="00A85DF5"/>
    <w:rsid w:val="00AA4294"/>
    <w:rsid w:val="00AA47AB"/>
    <w:rsid w:val="00B815DF"/>
    <w:rsid w:val="00C03592"/>
    <w:rsid w:val="00C5095F"/>
    <w:rsid w:val="00CA3E0E"/>
    <w:rsid w:val="00CA610D"/>
    <w:rsid w:val="00CB1F12"/>
    <w:rsid w:val="00CB3EBD"/>
    <w:rsid w:val="00D14242"/>
    <w:rsid w:val="00D53C70"/>
    <w:rsid w:val="00D95183"/>
    <w:rsid w:val="00DF058D"/>
    <w:rsid w:val="00EA595F"/>
    <w:rsid w:val="00FA126E"/>
    <w:rsid w:val="00FC3551"/>
    <w:rsid w:val="00FD07F5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759F1-97C3-4945-9491-E18CD986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5D"/>
    <w:pPr>
      <w:spacing w:before="120" w:after="0" w:line="280" w:lineRule="exact"/>
    </w:pPr>
    <w:rPr>
      <w:rFonts w:ascii="Arial" w:eastAsia="Times New Roman" w:hAnsi="Arial" w:cs="Times New Roman"/>
      <w:sz w:val="20"/>
      <w:lang w:eastAsia="en-GB"/>
    </w:rPr>
  </w:style>
  <w:style w:type="paragraph" w:styleId="Heading1">
    <w:name w:val="heading 1"/>
    <w:next w:val="Normal"/>
    <w:link w:val="Heading1Char"/>
    <w:autoRedefine/>
    <w:qFormat/>
    <w:rsid w:val="004D7347"/>
    <w:pPr>
      <w:keepNext/>
      <w:keepLines/>
      <w:spacing w:before="480" w:after="60" w:line="211" w:lineRule="auto"/>
      <w:outlineLvl w:val="0"/>
    </w:pPr>
    <w:rPr>
      <w:rFonts w:ascii="Arial" w:eastAsia="Times New Roman" w:hAnsi="Arial" w:cs="Arial"/>
      <w:b/>
      <w:bCs/>
      <w:caps/>
      <w:color w:val="D2002E" w:themeColor="accent1"/>
      <w:kern w:val="32"/>
      <w:sz w:val="56"/>
      <w:szCs w:val="32"/>
    </w:rPr>
  </w:style>
  <w:style w:type="paragraph" w:styleId="Heading2">
    <w:name w:val="heading 2"/>
    <w:next w:val="Normal"/>
    <w:link w:val="Heading2Char"/>
    <w:autoRedefine/>
    <w:qFormat/>
    <w:rsid w:val="005D6C5D"/>
    <w:pPr>
      <w:spacing w:before="360" w:after="60" w:line="360" w:lineRule="exact"/>
      <w:outlineLvl w:val="1"/>
    </w:pPr>
    <w:rPr>
      <w:rFonts w:ascii="Arial" w:eastAsia="Times New Roman" w:hAnsi="Arial" w:cs="Arial"/>
      <w:b/>
      <w:iCs/>
      <w:color w:val="D2002E" w:themeColor="accent1"/>
      <w:kern w:val="32"/>
      <w:sz w:val="32"/>
      <w:szCs w:val="28"/>
    </w:rPr>
  </w:style>
  <w:style w:type="paragraph" w:styleId="Heading3">
    <w:name w:val="heading 3"/>
    <w:next w:val="Normal"/>
    <w:link w:val="Heading3Char"/>
    <w:autoRedefine/>
    <w:qFormat/>
    <w:rsid w:val="005D6C5D"/>
    <w:pPr>
      <w:keepNext/>
      <w:spacing w:before="360" w:after="0" w:line="280" w:lineRule="exact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6C5D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9D002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D6C5D"/>
    <w:pPr>
      <w:keepNext/>
      <w:keepLines/>
      <w:spacing w:before="40"/>
      <w:outlineLvl w:val="4"/>
    </w:pPr>
    <w:rPr>
      <w:rFonts w:eastAsiaTheme="majorEastAsia" w:cstheme="majorBidi"/>
      <w:color w:val="9D0021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D6C5D"/>
    <w:pPr>
      <w:keepNext/>
      <w:keepLines/>
      <w:spacing w:before="40"/>
      <w:outlineLvl w:val="5"/>
    </w:pPr>
    <w:rPr>
      <w:rFonts w:eastAsiaTheme="majorEastAsia" w:cstheme="majorBidi"/>
      <w:b/>
      <w:color w:val="680016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5D6C5D"/>
    <w:pPr>
      <w:keepNext/>
      <w:keepLines/>
      <w:spacing w:before="40"/>
      <w:outlineLvl w:val="6"/>
    </w:pPr>
    <w:rPr>
      <w:rFonts w:eastAsiaTheme="majorEastAsia" w:cstheme="majorBidi"/>
      <w:b/>
      <w:i/>
      <w:iCs/>
      <w:color w:val="680016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5D6C5D"/>
    <w:pPr>
      <w:keepNext/>
      <w:keepLines/>
      <w:spacing w:before="40"/>
      <w:outlineLvl w:val="7"/>
    </w:pPr>
    <w:rPr>
      <w:rFonts w:eastAsiaTheme="majorEastAsia" w:cstheme="majorBidi"/>
      <w:color w:val="686C75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5D6C5D"/>
    <w:pPr>
      <w:keepNext/>
      <w:keepLines/>
      <w:spacing w:before="40"/>
      <w:outlineLvl w:val="8"/>
    </w:pPr>
    <w:rPr>
      <w:rFonts w:eastAsiaTheme="majorEastAsia" w:cstheme="majorBidi"/>
      <w:b/>
      <w:i/>
      <w:iCs/>
      <w:color w:val="686C75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347"/>
    <w:rPr>
      <w:rFonts w:ascii="Arial" w:eastAsia="Times New Roman" w:hAnsi="Arial" w:cs="Arial"/>
      <w:b/>
      <w:bCs/>
      <w:caps/>
      <w:color w:val="D2002E" w:themeColor="accent1"/>
      <w:kern w:val="32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5D6C5D"/>
    <w:rPr>
      <w:rFonts w:ascii="Arial" w:eastAsia="Times New Roman" w:hAnsi="Arial" w:cs="Arial"/>
      <w:b/>
      <w:iCs/>
      <w:color w:val="D2002E" w:themeColor="accent1"/>
      <w:kern w:val="32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5D6C5D"/>
    <w:rPr>
      <w:rFonts w:ascii="Arial" w:eastAsia="Times New Roman" w:hAnsi="Arial" w:cs="Arial"/>
      <w:b/>
      <w:bCs/>
      <w:szCs w:val="26"/>
    </w:rPr>
  </w:style>
  <w:style w:type="paragraph" w:styleId="Header">
    <w:name w:val="header"/>
    <w:aliases w:val="Rdg Header"/>
    <w:link w:val="HeaderChar"/>
    <w:autoRedefine/>
    <w:rsid w:val="005D6C5D"/>
    <w:pPr>
      <w:tabs>
        <w:tab w:val="right" w:pos="8505"/>
        <w:tab w:val="right" w:pos="9356"/>
      </w:tabs>
      <w:spacing w:before="120" w:after="0" w:line="28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5D6C5D"/>
    <w:rPr>
      <w:rFonts w:ascii="Arial" w:eastAsia="Times New Roman" w:hAnsi="Arial" w:cs="Times New Roman"/>
      <w:sz w:val="16"/>
      <w:szCs w:val="24"/>
    </w:rPr>
  </w:style>
  <w:style w:type="paragraph" w:customStyle="1" w:styleId="UoRTitle">
    <w:name w:val="UoR Title"/>
    <w:next w:val="Normal"/>
    <w:autoRedefine/>
    <w:rsid w:val="00AA4294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Arial" w:eastAsia="Times New Roman" w:hAnsi="Arial" w:cs="Times New Roman"/>
      <w:b/>
      <w:caps/>
      <w:noProof/>
      <w:color w:val="D2002E" w:themeColor="accent1"/>
      <w:sz w:val="56"/>
      <w:szCs w:val="40"/>
      <w:lang w:val="en-US"/>
    </w:rPr>
  </w:style>
  <w:style w:type="paragraph" w:customStyle="1" w:styleId="UoRSubtitle">
    <w:name w:val="UoR Subtitle"/>
    <w:basedOn w:val="UoRTitle"/>
    <w:autoRedefine/>
    <w:rsid w:val="005D6C5D"/>
    <w:rPr>
      <w:caps w:val="0"/>
      <w:color w:val="50535A" w:themeColor="text1"/>
      <w:sz w:val="36"/>
    </w:rPr>
  </w:style>
  <w:style w:type="paragraph" w:customStyle="1" w:styleId="UoRContentslist">
    <w:name w:val="UoR Contents list"/>
    <w:autoRedefine/>
    <w:rsid w:val="005D6C5D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Arial" w:eastAsia="Times New Roman" w:hAnsi="Arial" w:cs="Times New Roman"/>
      <w:szCs w:val="24"/>
      <w:lang w:val="en-US"/>
    </w:rPr>
  </w:style>
  <w:style w:type="paragraph" w:customStyle="1" w:styleId="UoRContentsHeader">
    <w:name w:val="UoR Contents Header"/>
    <w:basedOn w:val="UoRContentslist"/>
    <w:rsid w:val="005D6C5D"/>
    <w:pPr>
      <w:spacing w:before="720" w:after="180" w:line="360" w:lineRule="exact"/>
    </w:pPr>
    <w:rPr>
      <w:b/>
      <w:caps/>
      <w:sz w:val="32"/>
    </w:rPr>
  </w:style>
  <w:style w:type="paragraph" w:customStyle="1" w:styleId="UoRIntroduction">
    <w:name w:val="UoR Introduction"/>
    <w:basedOn w:val="Normal"/>
    <w:autoRedefine/>
    <w:rsid w:val="005D6C5D"/>
    <w:pPr>
      <w:spacing w:after="6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AA47AB"/>
    <w:pPr>
      <w:numPr>
        <w:numId w:val="1"/>
      </w:numPr>
      <w:contextualSpacing/>
    </w:pPr>
  </w:style>
  <w:style w:type="paragraph" w:customStyle="1" w:styleId="UoRUnitname">
    <w:name w:val="UoR Unit name"/>
    <w:autoRedefine/>
    <w:rsid w:val="005D6C5D"/>
    <w:pPr>
      <w:spacing w:after="0" w:line="300" w:lineRule="exac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UoRContentsHeader2">
    <w:name w:val="UoR Contents Header 2"/>
    <w:basedOn w:val="UoRContentslist"/>
    <w:autoRedefine/>
    <w:rsid w:val="005D6C5D"/>
    <w:pPr>
      <w:spacing w:before="180"/>
    </w:pPr>
    <w:rPr>
      <w:b/>
    </w:rPr>
  </w:style>
  <w:style w:type="paragraph" w:customStyle="1" w:styleId="UoRCaptions">
    <w:name w:val="UoR Captions"/>
    <w:basedOn w:val="Normal"/>
    <w:rsid w:val="00AA47AB"/>
    <w:pPr>
      <w:spacing w:after="2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815DF"/>
    <w:pPr>
      <w:spacing w:after="0" w:line="276" w:lineRule="auto"/>
      <w:outlineLvl w:val="9"/>
    </w:pPr>
    <w:rPr>
      <w:rFonts w:eastAsiaTheme="majorEastAsia" w:cstheme="majorBidi"/>
      <w:caps w:val="0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286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F28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8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D2002E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D2002E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D2002E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61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0D"/>
    <w:rPr>
      <w:rFonts w:ascii="Effra Light" w:eastAsia="Times New Roman" w:hAnsi="Effra Light" w:cs="Times New Roman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Effra" w:hAnsi="Effra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Effra" w:hAnsi="Effra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5D6C5D"/>
    <w:rPr>
      <w:rFonts w:ascii="Arial" w:eastAsiaTheme="majorEastAsia" w:hAnsi="Arial" w:cstheme="majorBidi"/>
      <w:b/>
      <w:i/>
      <w:iCs/>
      <w:color w:val="9D0021" w:themeColor="accent1" w:themeShade="BF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D6C5D"/>
    <w:rPr>
      <w:rFonts w:ascii="Arial" w:eastAsiaTheme="majorEastAsia" w:hAnsi="Arial" w:cstheme="majorBidi"/>
      <w:color w:val="9D0021" w:themeColor="accent1" w:themeShade="BF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C5D"/>
    <w:rPr>
      <w:rFonts w:ascii="Arial" w:eastAsiaTheme="majorEastAsia" w:hAnsi="Arial" w:cstheme="majorBidi"/>
      <w:b/>
      <w:color w:val="680016" w:themeColor="accent1" w:themeShade="7F"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D6C5D"/>
    <w:rPr>
      <w:rFonts w:ascii="Arial" w:eastAsiaTheme="majorEastAsia" w:hAnsi="Arial" w:cstheme="majorBidi"/>
      <w:b/>
      <w:i/>
      <w:iCs/>
      <w:color w:val="680016" w:themeColor="accent1" w:themeShade="7F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D6C5D"/>
    <w:rPr>
      <w:rFonts w:ascii="Arial" w:eastAsiaTheme="majorEastAsia" w:hAnsi="Arial" w:cstheme="majorBidi"/>
      <w:color w:val="686C75" w:themeColor="text1" w:themeTint="D8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D6C5D"/>
    <w:rPr>
      <w:rFonts w:ascii="Arial" w:eastAsiaTheme="majorEastAsia" w:hAnsi="Arial" w:cstheme="majorBidi"/>
      <w:b/>
      <w:i/>
      <w:iCs/>
      <w:color w:val="686C75" w:themeColor="text1" w:themeTint="D8"/>
      <w:sz w:val="20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ety@reading.ac.uk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FF706575E14D72AC2959D71B362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4007-6FC1-4B05-8684-C31AE7851DCB}"/>
      </w:docPartPr>
      <w:docPartBody>
        <w:p w:rsidR="00C04562" w:rsidRDefault="000E5E03">
          <w:r w:rsidRPr="00996FEB">
            <w:rPr>
              <w:rStyle w:val="PlaceholderText"/>
            </w:rPr>
            <w:t>[Author]</w:t>
          </w:r>
        </w:p>
      </w:docPartBody>
    </w:docPart>
    <w:docPart>
      <w:docPartPr>
        <w:name w:val="DBAC61D3BB064D60B28DE2154F58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96AE-02D3-4D44-A674-E4F616859DC4}"/>
      </w:docPartPr>
      <w:docPartBody>
        <w:p w:rsidR="00C04562" w:rsidRDefault="000E5E03" w:rsidP="000E5E03">
          <w:pPr>
            <w:pStyle w:val="DBAC61D3BB064D60B28DE2154F58361B"/>
          </w:pPr>
          <w:r w:rsidRPr="00996F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altName w:val="Trebuchet MS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Effra Bold">
    <w:altName w:val="Cambri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03"/>
    <w:rsid w:val="000E5E03"/>
    <w:rsid w:val="007D7043"/>
    <w:rsid w:val="00C04562"/>
    <w:rsid w:val="00D47560"/>
    <w:rsid w:val="00F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E0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E03"/>
    <w:rPr>
      <w:color w:val="808080"/>
    </w:rPr>
  </w:style>
  <w:style w:type="paragraph" w:customStyle="1" w:styleId="DBAC61D3BB064D60B28DE2154F58361B">
    <w:name w:val="DBAC61D3BB064D60B28DE2154F58361B"/>
    <w:rsid w:val="000E5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D2002E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D2002E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97C5-6B2B-4BFA-8AB8-442C70E2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UoR Report</vt:lpstr>
    </vt:vector>
  </TitlesOfParts>
  <Company>University of Reading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UoR Report</dc:title>
  <dc:creator>UoR Staff member</dc:creator>
  <cp:lastModifiedBy>Margot Bishop</cp:lastModifiedBy>
  <cp:revision>3</cp:revision>
  <cp:lastPrinted>2019-08-22T09:22:00Z</cp:lastPrinted>
  <dcterms:created xsi:type="dcterms:W3CDTF">2019-08-22T09:30:00Z</dcterms:created>
  <dcterms:modified xsi:type="dcterms:W3CDTF">2019-08-22T09:32:00Z</dcterms:modified>
</cp:coreProperties>
</file>